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B029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245"/>
        <w:gridCol w:w="3685"/>
        <w:gridCol w:w="2919"/>
      </w:tblGrid>
      <w:tr w:rsidR="00A06425" w:rsidRPr="00F41C24" w14:paraId="53695BC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92F3119" w14:textId="77777777" w:rsidR="00A06425" w:rsidRPr="00F41C24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Nazwa dokumentu:</w:t>
            </w:r>
            <w:r w:rsidR="00E3668C" w:rsidRPr="00F41C24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  <w:r w:rsidR="00E3668C"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e-</w:t>
            </w:r>
            <w:proofErr w:type="spellStart"/>
            <w:r w:rsidR="00E3668C"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ChoZaw</w:t>
            </w:r>
            <w:proofErr w:type="spellEnd"/>
            <w:r w:rsidR="00E3668C"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: Innowacyjna platforma do gromadzenia i analizy danych z Centralnego Rejestru Chorób Zawodowych</w:t>
            </w:r>
          </w:p>
          <w:p w14:paraId="027B689F" w14:textId="77777777" w:rsidR="00A06425" w:rsidRPr="00F41C24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A06425" w:rsidRPr="00F41C24" w14:paraId="5E638AEB" w14:textId="77777777" w:rsidTr="005B1D99">
        <w:tc>
          <w:tcPr>
            <w:tcW w:w="562" w:type="dxa"/>
            <w:shd w:val="clear" w:color="auto" w:fill="auto"/>
            <w:vAlign w:val="center"/>
          </w:tcPr>
          <w:p w14:paraId="0BF1B33E" w14:textId="77777777" w:rsidR="00A06425" w:rsidRPr="00F41C2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5F783" w14:textId="77777777" w:rsidR="00A06425" w:rsidRPr="00F41C2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A539F4" w14:textId="77777777" w:rsidR="00A06425" w:rsidRPr="00F41C2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7AD058D" w14:textId="77777777" w:rsidR="00A06425" w:rsidRPr="00F41C2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3BAF019" w14:textId="77777777" w:rsidR="00A06425" w:rsidRPr="00F41C24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6599F547" w14:textId="77777777" w:rsidR="00A06425" w:rsidRPr="00F41C24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</w:tr>
      <w:tr w:rsidR="00A06425" w:rsidRPr="00F41C24" w14:paraId="4B2BA141" w14:textId="77777777" w:rsidTr="005B1D99">
        <w:tc>
          <w:tcPr>
            <w:tcW w:w="562" w:type="dxa"/>
            <w:shd w:val="clear" w:color="auto" w:fill="auto"/>
          </w:tcPr>
          <w:p w14:paraId="2BD54951" w14:textId="77777777" w:rsidR="00A06425" w:rsidRPr="00F41C24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06A6A24" w14:textId="77777777" w:rsidR="00A06425" w:rsidRPr="00F41C24" w:rsidRDefault="00A12A9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7D76A604" w14:textId="77777777" w:rsidR="00A12A94" w:rsidRPr="00F41C24" w:rsidRDefault="001A63BE" w:rsidP="00A12A94">
            <w:pPr>
              <w:spacing w:line="240" w:lineRule="exact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Str. 2</w:t>
            </w:r>
            <w:r w:rsidR="002309F9" w:rsidRPr="00F41C2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dokumentu</w:t>
            </w:r>
            <w:r w:rsidR="00A12A94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, tabela „Lista Przepływów”, lp. </w:t>
            </w:r>
            <w:r w:rsidR="002309F9" w:rsidRPr="00F41C2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A12A94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TERYT.</w:t>
            </w:r>
          </w:p>
          <w:p w14:paraId="4BCBD778" w14:textId="77777777" w:rsidR="00A06425" w:rsidRPr="00F41C24" w:rsidRDefault="00A06425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661605B6" w14:textId="77777777" w:rsidR="00A12A94" w:rsidRPr="00F41C24" w:rsidRDefault="00A12A94" w:rsidP="00A12A94">
            <w:pPr>
              <w:spacing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Wątpliwości budzi prawidłowość wskazania w poz. </w:t>
            </w:r>
            <w:r w:rsidR="002309F9" w:rsidRPr="00F41C2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, w kolumnie „Zakres wymienianych danych” na dane adresowe</w:t>
            </w:r>
            <w:r w:rsidR="002309F9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„Adres”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, które mają być pobierane z rejestru TERYT, w kontekście zapisów ujętych w kolumnach „Sposób wymiany danych” i „Typ interfejsu”. Należy zauważyć, że aktualnie dane rejestru TERYT udostępniane z wykorzystaniem interfejsu API nie zawierają danych adresowych zawartych w systemie identyfikacji adresowej ulic, nieruchomości, budynków i mieszkań NOBC. Ponadto system obejmuje budynki mieszkalne oraz budynki, w których znajduje się przynajmniej jedno mieszkanie (nie obejmuje budynków, w których nie ma mieszkań, dane z tego systemu mogą więc nie być wystarczające dla omawianego projektu). </w:t>
            </w:r>
            <w:r w:rsidR="008A6BE1" w:rsidRPr="00F41C24">
              <w:rPr>
                <w:rFonts w:asciiTheme="minorHAnsi" w:hAnsiTheme="minorHAnsi" w:cstheme="minorHAnsi"/>
                <w:sz w:val="20"/>
                <w:szCs w:val="20"/>
              </w:rPr>
              <w:t>Jak wynika z opisu w tabeli „Lista systemów wykorzystywanych w projekcie” (lp. 8)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zamierzeniem wnioskodawców jest wykorzystanie nie danych adresowych zgromadzonych w rejestrze, a słowników rejestru TERYT</w:t>
            </w:r>
            <w:r w:rsidR="008A6BE1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i mechanizmów weryfikacji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, które są udostępniane poprzez interfejs API, tj. danych z systemów:</w:t>
            </w:r>
          </w:p>
          <w:p w14:paraId="75E5FF44" w14:textId="77777777" w:rsidR="00A12A94" w:rsidRPr="00F41C24" w:rsidRDefault="00A12A94" w:rsidP="00A12A94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identyfikatorów i nazw jednostek podziału terytorialnego kraju (TERC),</w:t>
            </w:r>
          </w:p>
          <w:p w14:paraId="137EBFFA" w14:textId="77777777" w:rsidR="00A12A94" w:rsidRPr="00F41C24" w:rsidRDefault="00A12A94" w:rsidP="00A12A94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identyfikatorów i nazw miejscowości (SIMC),</w:t>
            </w:r>
          </w:p>
          <w:p w14:paraId="00979F6F" w14:textId="77777777" w:rsidR="00A12A94" w:rsidRPr="00F41C24" w:rsidRDefault="00A12A94" w:rsidP="00A12A94">
            <w:pPr>
              <w:numPr>
                <w:ilvl w:val="0"/>
                <w:numId w:val="2"/>
              </w:numPr>
              <w:shd w:val="clear" w:color="auto" w:fill="FFFFFF"/>
              <w:spacing w:line="240" w:lineRule="exac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Centralny Katalog Ulic (ULIC).</w:t>
            </w:r>
          </w:p>
          <w:p w14:paraId="53CC0EFC" w14:textId="77777777" w:rsidR="00A06425" w:rsidRPr="00F41C24" w:rsidRDefault="008A6BE1" w:rsidP="00262BF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oraz weryfikacji danych adresowych do poziomu ulicy.</w:t>
            </w:r>
          </w:p>
        </w:tc>
        <w:tc>
          <w:tcPr>
            <w:tcW w:w="3685" w:type="dxa"/>
            <w:shd w:val="clear" w:color="auto" w:fill="auto"/>
          </w:tcPr>
          <w:p w14:paraId="5667B316" w14:textId="77777777" w:rsidR="00A06425" w:rsidRPr="00F41C24" w:rsidRDefault="00552E03" w:rsidP="00262B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Zmiana z: „</w:t>
            </w:r>
            <w:r w:rsidR="00E3668C" w:rsidRPr="00F41C24">
              <w:rPr>
                <w:rFonts w:asciiTheme="minorHAnsi" w:hAnsiTheme="minorHAnsi" w:cstheme="minorHAnsi"/>
                <w:sz w:val="20"/>
                <w:szCs w:val="20"/>
              </w:rPr>
              <w:t>Adres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="00A12A94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na:</w:t>
            </w:r>
            <w:r w:rsidR="00A12A94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="001A63BE" w:rsidRPr="00F41C24">
              <w:rPr>
                <w:rFonts w:asciiTheme="minorHAnsi" w:hAnsiTheme="minorHAnsi" w:cstheme="minorHAnsi"/>
                <w:sz w:val="20"/>
                <w:szCs w:val="20"/>
              </w:rPr>
              <w:t>Nazwy i identyfikatory jednostek podziału terytorialnego, miejscowości i ulic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”.</w:t>
            </w:r>
          </w:p>
        </w:tc>
        <w:tc>
          <w:tcPr>
            <w:tcW w:w="2919" w:type="dxa"/>
          </w:tcPr>
          <w:p w14:paraId="634E3A9E" w14:textId="77777777" w:rsidR="00A06425" w:rsidRPr="00F41C24" w:rsidRDefault="00063B09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Uwaga uwzględniona zgodnie z zaleceniami</w:t>
            </w:r>
            <w:r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>.</w:t>
            </w:r>
          </w:p>
        </w:tc>
      </w:tr>
      <w:tr w:rsidR="00A06425" w:rsidRPr="00F41C24" w14:paraId="55CAA827" w14:textId="77777777" w:rsidTr="005B1D99">
        <w:tc>
          <w:tcPr>
            <w:tcW w:w="562" w:type="dxa"/>
            <w:shd w:val="clear" w:color="auto" w:fill="auto"/>
          </w:tcPr>
          <w:p w14:paraId="63D61CFE" w14:textId="77777777" w:rsidR="00A06425" w:rsidRPr="00F41C24" w:rsidRDefault="00E3668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8232912" w14:textId="77777777" w:rsidR="00A06425" w:rsidRPr="00F41C24" w:rsidRDefault="008A6BE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67EB677C" w14:textId="77777777" w:rsidR="0036097F" w:rsidRPr="00F41C24" w:rsidRDefault="008A6BE1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Str. 32 dokumentu, pkt 7.4 „Opis zasobów danych przetwarzanych w planowanym rozwiązaniu”, tabela druga </w:t>
            </w:r>
          </w:p>
          <w:p w14:paraId="4CEDF8FB" w14:textId="77777777" w:rsidR="00A06425" w:rsidRPr="00F41C24" w:rsidRDefault="0036097F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8A6BE1" w:rsidRPr="00F41C24">
              <w:rPr>
                <w:rFonts w:asciiTheme="minorHAnsi" w:hAnsiTheme="minorHAnsi" w:cstheme="minorHAnsi"/>
                <w:sz w:val="20"/>
                <w:szCs w:val="20"/>
              </w:rPr>
              <w:t>lp. 2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245" w:type="dxa"/>
            <w:shd w:val="clear" w:color="auto" w:fill="auto"/>
          </w:tcPr>
          <w:p w14:paraId="60759577" w14:textId="77777777" w:rsidR="00A06425" w:rsidRPr="00F41C24" w:rsidRDefault="008A6BE1" w:rsidP="00262B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W kolumnie „Opis” dla rejestru TERYT podano: „</w:t>
            </w:r>
            <w:r w:rsidR="007145AE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Krajowy rejestr urzędowy podziału terytorialnego kraju; udostępnia nazwy oraz identyfikatory jednostek terytorialnego, miejscowości i ulic”. Opis jest niekompletny i wymaga uzupełnienia o wskazanie, że użyte określenie „identyfikatory </w:t>
            </w:r>
            <w:r w:rsidR="00CC7432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jednostek </w:t>
            </w:r>
            <w:r w:rsidR="007145AE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terytorialnego” dotyczy jednostek </w:t>
            </w:r>
            <w:r w:rsidR="007145AE"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podziału</w:t>
            </w:r>
            <w:r w:rsidR="007145AE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terytorialnego.</w:t>
            </w:r>
          </w:p>
        </w:tc>
        <w:tc>
          <w:tcPr>
            <w:tcW w:w="3685" w:type="dxa"/>
            <w:shd w:val="clear" w:color="auto" w:fill="auto"/>
          </w:tcPr>
          <w:p w14:paraId="19F3DFBB" w14:textId="77777777" w:rsidR="00A06425" w:rsidRPr="00F41C24" w:rsidRDefault="007145AE" w:rsidP="00262BF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Zmiana z</w:t>
            </w:r>
            <w:r w:rsidR="00552E03" w:rsidRPr="00F41C2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„Krajowy rejestr urzędowy podziału terytorialnego kraju; udostępnia nazwy oraz identyfikatory jednostek terytorialnego, miejscowości i ulic” na</w:t>
            </w:r>
            <w:r w:rsidR="00552E03" w:rsidRPr="00F41C2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„Krajowy rejestr urzędowy podziału terytorialnego kraju; udostępnia nazwy oraz identyfikatory jednostek </w:t>
            </w: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podziału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terytorialnego, miejscowości i ulic”.</w:t>
            </w:r>
          </w:p>
        </w:tc>
        <w:tc>
          <w:tcPr>
            <w:tcW w:w="2919" w:type="dxa"/>
          </w:tcPr>
          <w:p w14:paraId="3BDAD92F" w14:textId="77777777" w:rsidR="00A06425" w:rsidRPr="00F41C24" w:rsidRDefault="00063B09" w:rsidP="004D086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Uwaga uwzględniona zgodnie z zaleceniami</w:t>
            </w:r>
            <w:r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>.</w:t>
            </w:r>
          </w:p>
        </w:tc>
      </w:tr>
      <w:tr w:rsidR="006E533F" w:rsidRPr="00F41C24" w14:paraId="59C06280" w14:textId="77777777" w:rsidTr="005B1D99">
        <w:tc>
          <w:tcPr>
            <w:tcW w:w="562" w:type="dxa"/>
            <w:shd w:val="clear" w:color="auto" w:fill="auto"/>
          </w:tcPr>
          <w:p w14:paraId="5AA1D654" w14:textId="77777777" w:rsidR="006E533F" w:rsidRPr="00F41C24" w:rsidRDefault="006E533F" w:rsidP="006E533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DA83F84" w14:textId="77777777" w:rsidR="006E533F" w:rsidRPr="00F41C24" w:rsidRDefault="006E533F" w:rsidP="006E533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0A996D1E" w14:textId="77777777" w:rsidR="006E533F" w:rsidRPr="00F41C24" w:rsidRDefault="00D64396" w:rsidP="00776D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Str. 19, </w:t>
            </w:r>
            <w:r w:rsidR="00B07C69" w:rsidRPr="00F41C24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E533F" w:rsidRPr="00F41C24">
              <w:rPr>
                <w:rFonts w:asciiTheme="minorHAnsi" w:hAnsiTheme="minorHAnsi" w:cstheme="minorHAnsi"/>
                <w:sz w:val="20"/>
                <w:szCs w:val="20"/>
              </w:rPr>
              <w:t>kt 7.1 Widok kooperacji aplikacji</w:t>
            </w:r>
          </w:p>
        </w:tc>
        <w:tc>
          <w:tcPr>
            <w:tcW w:w="5245" w:type="dxa"/>
            <w:shd w:val="clear" w:color="auto" w:fill="auto"/>
          </w:tcPr>
          <w:p w14:paraId="3AFBDA49" w14:textId="77777777" w:rsidR="006E533F" w:rsidRPr="00F41C24" w:rsidRDefault="006E533F" w:rsidP="006E53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Zmiana opisu jednego z produktów wyjściowych </w:t>
            </w:r>
          </w:p>
        </w:tc>
        <w:tc>
          <w:tcPr>
            <w:tcW w:w="3685" w:type="dxa"/>
            <w:shd w:val="clear" w:color="auto" w:fill="auto"/>
          </w:tcPr>
          <w:p w14:paraId="6AF1F9CF" w14:textId="77777777" w:rsidR="006E533F" w:rsidRPr="00F41C24" w:rsidRDefault="006E533F" w:rsidP="006E533F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Jest: Bank Danych Lokalnych</w:t>
            </w:r>
          </w:p>
          <w:p w14:paraId="60096B7D" w14:textId="77777777" w:rsidR="006E533F" w:rsidRPr="00F41C24" w:rsidRDefault="006E533F" w:rsidP="006E533F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Powinno być: Baza danych GUS</w:t>
            </w:r>
          </w:p>
        </w:tc>
        <w:tc>
          <w:tcPr>
            <w:tcW w:w="2919" w:type="dxa"/>
          </w:tcPr>
          <w:p w14:paraId="646D8CD3" w14:textId="77777777" w:rsidR="006E533F" w:rsidRPr="00F41C24" w:rsidRDefault="003F4F85" w:rsidP="006E53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Uwaga uwzględniona zgodnie z zaleceniami</w:t>
            </w:r>
            <w:r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>.</w:t>
            </w:r>
            <w:r w:rsidR="008909B6"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 xml:space="preserve"> </w:t>
            </w:r>
            <w:r w:rsidR="008909B6"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Zaktualizowano </w:t>
            </w:r>
            <w:r w:rsidR="008909B6"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>opis na Baza danych GUS – Bank Danych Lokalnych.</w:t>
            </w:r>
          </w:p>
        </w:tc>
      </w:tr>
      <w:tr w:rsidR="006E533F" w:rsidRPr="00F41C24" w14:paraId="14F41F54" w14:textId="77777777" w:rsidTr="005B1D99">
        <w:tc>
          <w:tcPr>
            <w:tcW w:w="562" w:type="dxa"/>
            <w:shd w:val="clear" w:color="auto" w:fill="auto"/>
          </w:tcPr>
          <w:p w14:paraId="448FBF43" w14:textId="77777777" w:rsidR="006E533F" w:rsidRPr="00F41C24" w:rsidRDefault="006E533F" w:rsidP="006E533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59A9435B" w14:textId="77777777" w:rsidR="006E533F" w:rsidRPr="00F41C24" w:rsidRDefault="006E533F" w:rsidP="006E533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4D89E7FA" w14:textId="77777777" w:rsidR="006E533F" w:rsidRPr="00F41C24" w:rsidRDefault="00D64396" w:rsidP="00776D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36097F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tr. 28, </w:t>
            </w:r>
            <w:r w:rsidR="00776D9B" w:rsidRPr="00F41C24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E533F" w:rsidRPr="00F41C24">
              <w:rPr>
                <w:rFonts w:asciiTheme="minorHAnsi" w:hAnsiTheme="minorHAnsi" w:cstheme="minorHAnsi"/>
                <w:sz w:val="20"/>
                <w:szCs w:val="20"/>
              </w:rPr>
              <w:t>kt 7.1 Lista przepływów</w:t>
            </w:r>
            <w:r w:rsidR="0036097F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(lp. 1), </w:t>
            </w:r>
          </w:p>
        </w:tc>
        <w:tc>
          <w:tcPr>
            <w:tcW w:w="5245" w:type="dxa"/>
            <w:shd w:val="clear" w:color="auto" w:fill="auto"/>
          </w:tcPr>
          <w:p w14:paraId="3E954D91" w14:textId="77777777" w:rsidR="006E533F" w:rsidRPr="00F41C24" w:rsidRDefault="006E533F" w:rsidP="006E53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Zmiana nazwy pierwszego systemu docelowego</w:t>
            </w:r>
          </w:p>
        </w:tc>
        <w:tc>
          <w:tcPr>
            <w:tcW w:w="3685" w:type="dxa"/>
            <w:shd w:val="clear" w:color="auto" w:fill="auto"/>
          </w:tcPr>
          <w:p w14:paraId="00CD9529" w14:textId="77777777" w:rsidR="006E533F" w:rsidRPr="00F41C24" w:rsidRDefault="006E533F" w:rsidP="006E533F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Jest: Bank Danych Lokalnych</w:t>
            </w:r>
          </w:p>
          <w:p w14:paraId="69E0056E" w14:textId="77777777" w:rsidR="006E533F" w:rsidRPr="00F41C24" w:rsidRDefault="006E533F" w:rsidP="006E533F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Powinno być: Baza danych GUS</w:t>
            </w:r>
          </w:p>
        </w:tc>
        <w:tc>
          <w:tcPr>
            <w:tcW w:w="2919" w:type="dxa"/>
          </w:tcPr>
          <w:p w14:paraId="523D4E5D" w14:textId="77777777" w:rsidR="006E533F" w:rsidRPr="00F41C24" w:rsidRDefault="003F4F85" w:rsidP="006E53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Uwaga uwzględniona zgodnie z zaleceniami</w:t>
            </w:r>
            <w:r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>.</w:t>
            </w:r>
            <w:r w:rsidR="008909B6"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 xml:space="preserve"> </w:t>
            </w:r>
            <w:r w:rsidR="008909B6"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Zaktualizowano opis na Baza danych GUS – Bank Danych Lokalnych.</w:t>
            </w:r>
          </w:p>
        </w:tc>
      </w:tr>
      <w:tr w:rsidR="006E533F" w:rsidRPr="00F41C24" w14:paraId="01B15933" w14:textId="77777777" w:rsidTr="005B1D99">
        <w:tc>
          <w:tcPr>
            <w:tcW w:w="562" w:type="dxa"/>
            <w:shd w:val="clear" w:color="auto" w:fill="auto"/>
          </w:tcPr>
          <w:p w14:paraId="74628F50" w14:textId="77777777" w:rsidR="006E533F" w:rsidRPr="00F41C24" w:rsidRDefault="006E533F" w:rsidP="006E533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420D9F1" w14:textId="77777777" w:rsidR="006E533F" w:rsidRPr="00F41C24" w:rsidRDefault="006E533F" w:rsidP="006E533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14:paraId="7B5598FC" w14:textId="77777777" w:rsidR="006E533F" w:rsidRPr="00F41C24" w:rsidRDefault="00D64396" w:rsidP="00776D9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36097F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tr. 19, </w:t>
            </w:r>
            <w:r w:rsidR="00776D9B" w:rsidRPr="00F41C24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6E533F" w:rsidRPr="00F41C24">
              <w:rPr>
                <w:rFonts w:asciiTheme="minorHAnsi" w:hAnsiTheme="minorHAnsi" w:cstheme="minorHAnsi"/>
                <w:sz w:val="20"/>
                <w:szCs w:val="20"/>
              </w:rPr>
              <w:t>kt 7.1 Lista systemów wykorzystywanych w projekcie</w:t>
            </w:r>
            <w:r w:rsidR="0036097F"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(lp. 1), </w:t>
            </w:r>
          </w:p>
        </w:tc>
        <w:tc>
          <w:tcPr>
            <w:tcW w:w="5245" w:type="dxa"/>
            <w:shd w:val="clear" w:color="auto" w:fill="auto"/>
          </w:tcPr>
          <w:p w14:paraId="1DDB02B8" w14:textId="77777777" w:rsidR="006E533F" w:rsidRPr="00F41C24" w:rsidRDefault="006E533F" w:rsidP="006E53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Aktualizacja opisu Banku Danych Lokalnych GUS - jeżeli autorzy projektu uznają za zasadne pozostawienie w dokumentacji Banku Danych Lokalnych </w:t>
            </w:r>
          </w:p>
        </w:tc>
        <w:tc>
          <w:tcPr>
            <w:tcW w:w="3685" w:type="dxa"/>
            <w:shd w:val="clear" w:color="auto" w:fill="auto"/>
          </w:tcPr>
          <w:p w14:paraId="76041A64" w14:textId="77777777" w:rsidR="006E533F" w:rsidRPr="00F41C24" w:rsidRDefault="006E533F" w:rsidP="006E533F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Bank Danych Lokalnych GUS (BDL) jest publicznie dostępnym narzędziem umożliwiającym pobranie danych statystycznych wraz kontekstowym opisem metodologicznym, wykorzystywanym w trakcie prowadzenia analiz. Jest podstawowym elementem systemu informacji statystycznej, oferujący</w:t>
            </w:r>
            <w:r w:rsidR="00CC7432" w:rsidRPr="00F41C24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odbiorcom dane roczne od 1995 roku oraz krótkookresowe (np. miesięczne, kwartalne) od 2005 roku. Dane są uporządkowane według dziedzin tematycznych zgodnych z programem badań statystycznych statystyki publicznej, np. ludność, rynek pracy, gospodarka mieszkaniowa i komunalna. Zasoby Banku opisują jednostki podziału terytorialnego kraju, administracyjne: województwa, powiaty, miasta na prawach powiatu i gminy oraz statystyczne: makroregiony (poziom NUTS 1), regiony (poziom NUTS 2) oraz podregiony (poziom NUTS 3). Od 2008 roku udostępniane są dane dla miejscowości statystycznych.</w:t>
            </w:r>
          </w:p>
          <w:p w14:paraId="16756E75" w14:textId="77777777" w:rsidR="006E533F" w:rsidRPr="00F41C24" w:rsidRDefault="006E533F" w:rsidP="006E533F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Z BDL można uzyskać informacje w układach:</w:t>
            </w:r>
          </w:p>
          <w:p w14:paraId="321B495C" w14:textId="77777777" w:rsidR="006E533F" w:rsidRPr="00F41C24" w:rsidRDefault="006E533F" w:rsidP="00D64396">
            <w:pPr>
              <w:numPr>
                <w:ilvl w:val="0"/>
                <w:numId w:val="3"/>
              </w:numPr>
              <w:spacing w:after="100" w:afterAutospacing="1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Wybrana dziedzina tematyczna - wiele jednostek terytorialnych;</w:t>
            </w:r>
          </w:p>
          <w:p w14:paraId="5BDA1381" w14:textId="77777777" w:rsidR="006E533F" w:rsidRPr="00F41C24" w:rsidRDefault="006E533F" w:rsidP="006E533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Wskazana jednostka podziału terytorialnego kraju - wiele dziedzin tematycznych;</w:t>
            </w:r>
          </w:p>
          <w:p w14:paraId="582B27D5" w14:textId="77777777" w:rsidR="006E533F" w:rsidRPr="00F41C24" w:rsidRDefault="006E533F" w:rsidP="006E533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Obszar funkcjonalny.</w:t>
            </w:r>
          </w:p>
          <w:p w14:paraId="0AA40CC5" w14:textId="77777777" w:rsidR="006E533F" w:rsidRPr="00F41C24" w:rsidRDefault="006E533F" w:rsidP="00D64396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Interfejs użytkownika umożliwia:</w:t>
            </w:r>
          </w:p>
          <w:p w14:paraId="528A94BE" w14:textId="77777777" w:rsidR="006E533F" w:rsidRPr="00F41C24" w:rsidRDefault="006E533F" w:rsidP="00D64396">
            <w:pPr>
              <w:pStyle w:val="NormalnyWeb"/>
              <w:numPr>
                <w:ilvl w:val="0"/>
                <w:numId w:val="4"/>
              </w:numPr>
              <w:spacing w:before="0" w:beforeAutospacing="0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śledzenie kalendarza aktualizacji danych,</w:t>
            </w:r>
          </w:p>
          <w:p w14:paraId="29791930" w14:textId="77777777" w:rsidR="006E533F" w:rsidRPr="00F41C24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wyszukanie informacji.</w:t>
            </w:r>
          </w:p>
          <w:p w14:paraId="25C809F3" w14:textId="77777777" w:rsidR="006E533F" w:rsidRPr="00F41C24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wyszukanie jednostki terytorialnej (administracyjnej, statystycznej),</w:t>
            </w:r>
          </w:p>
          <w:p w14:paraId="06327C02" w14:textId="77777777" w:rsidR="006E533F" w:rsidRPr="00F41C24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wybór i zmianę parametrów wyboru danych,</w:t>
            </w:r>
          </w:p>
          <w:p w14:paraId="59CC0C33" w14:textId="77777777" w:rsidR="006E533F" w:rsidRPr="00F41C24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pobranie zestawień zbiorczych do pliku zewnętrznego: dane wraz z powiązanymi metadanymi w formatach 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xlsx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csv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3FCF891" w14:textId="77777777" w:rsidR="006E533F" w:rsidRPr="00F41C24" w:rsidRDefault="006E533F" w:rsidP="006E533F">
            <w:pPr>
              <w:pStyle w:val="NormalnyWeb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dostęp do danych archiwalnych. </w:t>
            </w:r>
          </w:p>
          <w:p w14:paraId="1AD885B4" w14:textId="77777777" w:rsidR="006E533F" w:rsidRPr="00F41C24" w:rsidRDefault="006E533F" w:rsidP="006E533F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Bank oferuje obsługę użytkownika zalogowanego, umożliwiającą utworzenie, edycję i powtórne wykorzystanie bibliotek własnych z wcześniej pobranymi danymi.</w:t>
            </w:r>
          </w:p>
          <w:p w14:paraId="7F8E189D" w14:textId="77777777" w:rsidR="006E533F" w:rsidRPr="00F41C24" w:rsidRDefault="006E533F" w:rsidP="006E533F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BDL zawiera słowniki i metadane opisujące metodologiczny kontekst zawartości informacyjnej, w tym listę cech, wykazy jednostek terytorialnych kraju wraz z historią zmian, słownik pojęć statystycznych, opis zasad agregacji danych, jednostki miary i atrybuty zmiennych.</w:t>
            </w:r>
          </w:p>
          <w:p w14:paraId="09533128" w14:textId="77777777" w:rsidR="006E533F" w:rsidRPr="00F41C24" w:rsidRDefault="006E533F" w:rsidP="006E533F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Od grudnia 2018 roku zasoby Banku można pobrać z wykorzystaniem usługi sieciowej API (dostęp do danych poprzez interfejs REST API w formacie 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json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jsonapi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xml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).</w:t>
            </w:r>
          </w:p>
        </w:tc>
        <w:tc>
          <w:tcPr>
            <w:tcW w:w="2919" w:type="dxa"/>
          </w:tcPr>
          <w:p w14:paraId="57917138" w14:textId="77777777" w:rsidR="006E533F" w:rsidRPr="00F41C24" w:rsidRDefault="008909B6" w:rsidP="006E533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>Uwaga uwzględniona zgodnie z zaleceniami</w:t>
            </w:r>
            <w:r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 xml:space="preserve">. </w:t>
            </w: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Zaktualizowano opis Baz danych GUS – Bank</w:t>
            </w:r>
            <w:r w:rsidR="00A3786F"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u</w:t>
            </w: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Danych Lokalnych</w:t>
            </w:r>
            <w:r w:rsidR="00A3786F"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zakresie umożliwiającym liczbę znaków opisu.</w:t>
            </w:r>
          </w:p>
        </w:tc>
      </w:tr>
      <w:tr w:rsidR="00654EA3" w:rsidRPr="00F41C24" w14:paraId="1281E4EE" w14:textId="77777777" w:rsidTr="005B1D99">
        <w:tc>
          <w:tcPr>
            <w:tcW w:w="562" w:type="dxa"/>
            <w:shd w:val="clear" w:color="auto" w:fill="auto"/>
          </w:tcPr>
          <w:p w14:paraId="7BB7BCAE" w14:textId="2A5F137B" w:rsidR="00654EA3" w:rsidRPr="00F41C24" w:rsidRDefault="00654EA3" w:rsidP="00654EA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14:paraId="52CE62C9" w14:textId="6F859FCF" w:rsidR="00654EA3" w:rsidRPr="00F41C24" w:rsidRDefault="00654EA3" w:rsidP="00654EA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2B0915C" w14:textId="7450BB36" w:rsidR="00654EA3" w:rsidRPr="00F41C24" w:rsidRDefault="00654EA3" w:rsidP="00654E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Uwaga ogólna</w:t>
            </w:r>
          </w:p>
        </w:tc>
        <w:tc>
          <w:tcPr>
            <w:tcW w:w="5245" w:type="dxa"/>
            <w:shd w:val="clear" w:color="auto" w:fill="auto"/>
          </w:tcPr>
          <w:p w14:paraId="5AC5562E" w14:textId="6B7E3AE2" w:rsidR="00654EA3" w:rsidRPr="00F41C24" w:rsidRDefault="00654EA3" w:rsidP="00654E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Należy zweryfikować wskazane w OZPI źródło finansowania pochodzące z budżetu państwa. Środki przewidziane na wypłaty dla podmiotów niebędących państwowymi jednostkami budżetowymi są planowane przez CPPC w cz. 27 – Informatyzacja.</w:t>
            </w:r>
          </w:p>
        </w:tc>
        <w:tc>
          <w:tcPr>
            <w:tcW w:w="3685" w:type="dxa"/>
            <w:shd w:val="clear" w:color="auto" w:fill="auto"/>
          </w:tcPr>
          <w:p w14:paraId="5F8801CB" w14:textId="04A903F0" w:rsidR="00654EA3" w:rsidRPr="00F41C24" w:rsidRDefault="00654EA3" w:rsidP="00654EA3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Proszę o analizę i korektę opisu założeń.</w:t>
            </w:r>
          </w:p>
        </w:tc>
        <w:tc>
          <w:tcPr>
            <w:tcW w:w="2919" w:type="dxa"/>
          </w:tcPr>
          <w:p w14:paraId="7FB9B5D7" w14:textId="6308C3AF" w:rsidR="00654EA3" w:rsidRPr="00F41C24" w:rsidRDefault="00654EA3" w:rsidP="00654EA3">
            <w:pPr>
              <w:jc w:val="center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Uwaga uwzględniona zgodnie z zaleceniami</w:t>
            </w:r>
            <w:r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>.</w:t>
            </w:r>
          </w:p>
        </w:tc>
      </w:tr>
      <w:tr w:rsidR="00654EA3" w:rsidRPr="00F41C24" w14:paraId="037606F6" w14:textId="77777777" w:rsidTr="005B1D99">
        <w:tc>
          <w:tcPr>
            <w:tcW w:w="562" w:type="dxa"/>
            <w:shd w:val="clear" w:color="auto" w:fill="auto"/>
          </w:tcPr>
          <w:p w14:paraId="1C3840A0" w14:textId="38C4A86D" w:rsidR="00654EA3" w:rsidRPr="00F41C24" w:rsidRDefault="00654EA3" w:rsidP="00654EA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14:paraId="3513FC83" w14:textId="624804F0" w:rsidR="00654EA3" w:rsidRPr="00F41C24" w:rsidRDefault="00654EA3" w:rsidP="00654EA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ACB04E1" w14:textId="7FF24865" w:rsidR="00654EA3" w:rsidRPr="00F41C24" w:rsidRDefault="00654EA3" w:rsidP="00654E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7.1. Widok kooperacji aplikacji</w:t>
            </w:r>
          </w:p>
        </w:tc>
        <w:tc>
          <w:tcPr>
            <w:tcW w:w="5245" w:type="dxa"/>
            <w:shd w:val="clear" w:color="auto" w:fill="auto"/>
          </w:tcPr>
          <w:p w14:paraId="39871D08" w14:textId="0CD04966" w:rsidR="00654EA3" w:rsidRPr="00F41C24" w:rsidRDefault="00654EA3" w:rsidP="00654E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W tabeli „Lista systemów wykorzystywanych w projekcie” znajduje się niewłaściwy opis portalu dane.gov.pl (zamieszczony opis dotyczy systemu EZD RP)</w:t>
            </w:r>
          </w:p>
        </w:tc>
        <w:tc>
          <w:tcPr>
            <w:tcW w:w="3685" w:type="dxa"/>
            <w:shd w:val="clear" w:color="auto" w:fill="auto"/>
          </w:tcPr>
          <w:p w14:paraId="0F7187F6" w14:textId="2D9C8787" w:rsidR="00654EA3" w:rsidRPr="00F41C24" w:rsidRDefault="00654EA3" w:rsidP="00654EA3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Prosimy o wpisanie prawidłowego opisu tj. definicji portalu dane.gov.pl z art. 2 pkt 13 ustawy z 11 sierpnia 2021 o otwartych danych i ponownym wykorzystywaniu 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informacji sektora publicznego: „Prowadzony przez ministra właściwego do spraw informatyzacji, powszechnie dostępny system teleinformatyczny, służący do udostępniania informacji sektora publicznego w celu ponownego wykorzystywania oraz danych prywatnych w celu wykorzystywania”.</w:t>
            </w:r>
          </w:p>
        </w:tc>
        <w:tc>
          <w:tcPr>
            <w:tcW w:w="2919" w:type="dxa"/>
          </w:tcPr>
          <w:p w14:paraId="1179A9DC" w14:textId="690805BB" w:rsidR="00654EA3" w:rsidRPr="00F41C24" w:rsidRDefault="00654EA3" w:rsidP="00654EA3">
            <w:pPr>
              <w:jc w:val="center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>Uwaga uwzględniona zgodnie z zaleceniami</w:t>
            </w:r>
            <w:r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>.</w:t>
            </w:r>
          </w:p>
        </w:tc>
      </w:tr>
      <w:tr w:rsidR="00654EA3" w:rsidRPr="00F41C24" w14:paraId="28F7EEF7" w14:textId="77777777" w:rsidTr="005B1D99">
        <w:tc>
          <w:tcPr>
            <w:tcW w:w="562" w:type="dxa"/>
            <w:shd w:val="clear" w:color="auto" w:fill="auto"/>
          </w:tcPr>
          <w:p w14:paraId="61F5BB05" w14:textId="722D0A7B" w:rsidR="00654EA3" w:rsidRPr="00F41C24" w:rsidRDefault="00654EA3" w:rsidP="00654EA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14:paraId="2B149CBD" w14:textId="76037BA3" w:rsidR="00654EA3" w:rsidRPr="00F41C24" w:rsidRDefault="00654EA3" w:rsidP="00654EA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DSO MSWiA</w:t>
            </w:r>
          </w:p>
        </w:tc>
        <w:tc>
          <w:tcPr>
            <w:tcW w:w="1843" w:type="dxa"/>
            <w:shd w:val="clear" w:color="auto" w:fill="auto"/>
          </w:tcPr>
          <w:p w14:paraId="7EAB221C" w14:textId="77777777" w:rsidR="00654EA3" w:rsidRPr="00F41C24" w:rsidRDefault="00654EA3" w:rsidP="00654E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Pkt. 7.1.</w:t>
            </w:r>
          </w:p>
          <w:p w14:paraId="06487CCB" w14:textId="77777777" w:rsidR="00654EA3" w:rsidRPr="00F41C24" w:rsidRDefault="00654EA3" w:rsidP="00654E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Lista systemów wykorzystywanych w projekcie </w:t>
            </w:r>
          </w:p>
          <w:p w14:paraId="50CDC40B" w14:textId="25E82B86" w:rsidR="00654EA3" w:rsidRPr="00F41C24" w:rsidRDefault="00654EA3" w:rsidP="00654E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pkt 5 tabeli - system PESEL</w:t>
            </w:r>
          </w:p>
        </w:tc>
        <w:tc>
          <w:tcPr>
            <w:tcW w:w="5245" w:type="dxa"/>
            <w:shd w:val="clear" w:color="auto" w:fill="auto"/>
          </w:tcPr>
          <w:p w14:paraId="56DA7ADC" w14:textId="77777777" w:rsidR="00654EA3" w:rsidRPr="00F41C24" w:rsidRDefault="00654EA3" w:rsidP="00654E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Opis zawiera m.in. informacje dot. osób, których dane są gromadzone w rejestrze PESEL, wskazując:</w:t>
            </w:r>
          </w:p>
          <w:p w14:paraId="16A83931" w14:textId="77777777" w:rsidR="00654EA3" w:rsidRPr="00F41C24" w:rsidRDefault="00654EA3" w:rsidP="00654EA3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obywateli polskich zamieszkujących na terytorium Rzeczypospolitej Polskiej;</w:t>
            </w:r>
          </w:p>
          <w:p w14:paraId="4EA6DC86" w14:textId="77777777" w:rsidR="00654EA3" w:rsidRPr="00F41C24" w:rsidRDefault="00654EA3" w:rsidP="00654EA3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obywateli polskich zamieszkujących poza granicami Rzeczypospolitej Polskiej w związku z ubieganiem się o polski dokument tożsamości;</w:t>
            </w:r>
          </w:p>
          <w:p w14:paraId="7266E4B5" w14:textId="77777777" w:rsidR="00654EA3" w:rsidRPr="00F41C24" w:rsidRDefault="00654EA3" w:rsidP="00654EA3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cudzoziemców zamieszkujących na terytorium Rzeczypospolitej Polskiej, którzy uzyskali prawa stałego pobytu, zezwolenie na pobyt stały lub inny status określony w ustawie o ewidencji ludności lub na podstawie odrębnych przepisów zobowiązane są do posiadania numeru PESEL. W systemie, w szczególności gromadzone są w nim także dane obywateli Ukrainy i ich małżonków, którzy przybyli do Polski w związku z działaniami wojennymi prowadzonymi na terytorium Ukrainy i którym nadano numer PESEL.</w:t>
            </w:r>
          </w:p>
          <w:p w14:paraId="7060E066" w14:textId="77777777" w:rsidR="00654EA3" w:rsidRPr="00F41C24" w:rsidRDefault="00654EA3" w:rsidP="00654EA3">
            <w:pPr>
              <w:pStyle w:val="Akapitzli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8D9194" w14:textId="77777777" w:rsidR="00654EA3" w:rsidRPr="00F41C24" w:rsidRDefault="00654EA3" w:rsidP="00654E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Zgodnie z art. 7 ust. 1 i 2 ustawy z dnia 24 września 2010 r</w:t>
            </w:r>
            <w:r w:rsidRPr="00F41C2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F41C24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  <w:t xml:space="preserve">o ewidencji </w:t>
            </w:r>
            <w:proofErr w:type="gramStart"/>
            <w:r w:rsidRPr="00F41C24">
              <w:rPr>
                <w:rFonts w:asciiTheme="minorHAnsi" w:hAnsiTheme="minorHAnsi" w:cstheme="minorHAnsi"/>
                <w:i/>
                <w:sz w:val="20"/>
                <w:szCs w:val="20"/>
              </w:rPr>
              <w:t>ludności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 w</w:t>
            </w:r>
            <w:proofErr w:type="gram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rejestrze PESEL gromadzone są dane:</w:t>
            </w:r>
          </w:p>
          <w:p w14:paraId="0516C398" w14:textId="77777777" w:rsidR="00654EA3" w:rsidRPr="00F41C24" w:rsidRDefault="00654EA3" w:rsidP="00654EA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obywateli polskich zamieszkujących na terytorium Rzeczypospolitej Polskiej,</w:t>
            </w:r>
          </w:p>
          <w:p w14:paraId="555A561D" w14:textId="77777777" w:rsidR="00654EA3" w:rsidRPr="00F41C24" w:rsidRDefault="00654EA3" w:rsidP="00654EA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obywateli polskich zamieszkujących poza granicami Rzeczypospolitej Polskiej w związku z ubieganiem się o polski dokument tożsamości,</w:t>
            </w:r>
          </w:p>
          <w:p w14:paraId="05A683B6" w14:textId="77777777" w:rsidR="00654EA3" w:rsidRPr="00F41C24" w:rsidRDefault="00654EA3" w:rsidP="00654EA3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cudzoziemców zamieszkujących na terytorium Rzeczypospolitej Polskiej.</w:t>
            </w:r>
          </w:p>
          <w:p w14:paraId="00E6BB7B" w14:textId="6017832E" w:rsidR="00654EA3" w:rsidRPr="00F41C24" w:rsidRDefault="00654EA3" w:rsidP="00654E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Dodatkowo w rejestrze PESEL mogą być gromadzone dane osób obowiązanych na podstawie odrębnych przepisów do posiadania numeru PESEL.</w:t>
            </w:r>
          </w:p>
        </w:tc>
        <w:tc>
          <w:tcPr>
            <w:tcW w:w="3685" w:type="dxa"/>
            <w:shd w:val="clear" w:color="auto" w:fill="auto"/>
          </w:tcPr>
          <w:p w14:paraId="0110600B" w14:textId="77777777" w:rsidR="00654EA3" w:rsidRPr="00F41C24" w:rsidRDefault="00654EA3" w:rsidP="00654EA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Punkt dotyczący cudzoziemców wymaga zmiany w celu uwzględnienia obowiązującego stanu prawnego. Proponuje się zastąpić dotychczasowe brzmienie następującym: </w:t>
            </w:r>
          </w:p>
          <w:p w14:paraId="6C4141C9" w14:textId="77777777" w:rsidR="00654EA3" w:rsidRPr="00F41C24" w:rsidRDefault="00654EA3" w:rsidP="00654EA3">
            <w:pPr>
              <w:pStyle w:val="Akapitzlist"/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i/>
                <w:sz w:val="20"/>
                <w:szCs w:val="20"/>
              </w:rPr>
              <w:t>„cudzoziemców zamieszkujących na terytorium Rzeczypospolitej Polskiej,</w:t>
            </w:r>
          </w:p>
          <w:p w14:paraId="2EB31D39" w14:textId="1E85BA47" w:rsidR="00654EA3" w:rsidRPr="00F41C24" w:rsidRDefault="00654EA3" w:rsidP="00654EA3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i/>
                <w:sz w:val="20"/>
                <w:szCs w:val="20"/>
              </w:rPr>
              <w:t>osób obowiązanych na podstawie odrębnych przepisów do posiadania numeru PESEL”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19" w:type="dxa"/>
          </w:tcPr>
          <w:p w14:paraId="2874EEBF" w14:textId="0B47F75C" w:rsidR="00654EA3" w:rsidRPr="00F41C24" w:rsidRDefault="00654EA3" w:rsidP="00654EA3">
            <w:pPr>
              <w:jc w:val="center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Uwaga uwzględniona zgodnie z zaleceniami</w:t>
            </w:r>
            <w:r w:rsidRPr="00F41C24">
              <w:rPr>
                <w:rFonts w:asciiTheme="minorHAnsi" w:eastAsiaTheme="minorEastAsia" w:hAnsiTheme="minorHAnsi" w:cstheme="minorHAnsi"/>
                <w:color w:val="EE0000"/>
                <w:sz w:val="20"/>
                <w:szCs w:val="20"/>
              </w:rPr>
              <w:t>.</w:t>
            </w:r>
          </w:p>
        </w:tc>
      </w:tr>
      <w:tr w:rsidR="00654EA3" w:rsidRPr="00F41C24" w14:paraId="4458D424" w14:textId="77777777" w:rsidTr="005B1D99">
        <w:tc>
          <w:tcPr>
            <w:tcW w:w="562" w:type="dxa"/>
            <w:shd w:val="clear" w:color="auto" w:fill="auto"/>
          </w:tcPr>
          <w:p w14:paraId="4A974632" w14:textId="213FC265" w:rsidR="00654EA3" w:rsidRPr="00F41C24" w:rsidRDefault="00F41C24" w:rsidP="00654EA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14:paraId="286CC0CC" w14:textId="2539EAF8" w:rsidR="00654EA3" w:rsidRPr="00F41C24" w:rsidRDefault="00F41C24" w:rsidP="00654EA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UODO</w:t>
            </w:r>
          </w:p>
        </w:tc>
        <w:tc>
          <w:tcPr>
            <w:tcW w:w="1843" w:type="dxa"/>
            <w:shd w:val="clear" w:color="auto" w:fill="auto"/>
          </w:tcPr>
          <w:p w14:paraId="6F2D1EFC" w14:textId="77777777" w:rsidR="00654EA3" w:rsidRPr="00F41C24" w:rsidRDefault="00654EA3" w:rsidP="00654E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310A9153" w14:textId="34FA39ED" w:rsidR="00654EA3" w:rsidRPr="00F41C24" w:rsidRDefault="00654EA3" w:rsidP="00654E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Z opisu założeń projektu informatycznego e-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ChoZaw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wynika, że tworzony system będzie przetwarzał szeroki zakres danych 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osobowych, w tym danych dotyczących zdrowia, poprzez uwierzytelnienie użytkownika za pomocą Węzła Krajowego i przy wykorzystywaniu zawartości innych systemów informatycznych (np. PESEL, TARYF, REGON, EZD RP, SEPIS). W opisie założeń przewidziano dokonanie zmian w rozporządzeniu Ministra Zdrowia z dnia 24 maja 2012 r. zmieniającym rozporządzenie w sprawie sposobu dokumentowania chorób zawodowych i skutków tych chorób (Dz. U. z 2024 r. poz. 1542; pkt. 6.1 opisu założeń). Mając jednak na uwadze charakter przetwarzanych w tym systemie danych, które dotyczą danych dotyczących zdrowia, a zatem danych szczególnych kategorii w świetle rozporządzenia 2016/679, należy wskazać, że konieczne jest podjęcie działań legislacyjnych mających na celu określenie właściwej regulacji ustawowej dla przetwarzania danych osobowych w tym systemie. Wątpliwości budzi bowiem, czy wskazywany przez Wnioskodawcę art. 237 § 4 Kodeksu pracy stanowi stosowną podstawę przetwarzania danych osobowych w odniesieniu do projektowanego systemu. Zgodnie z tym przepisem, minister właściwy do spraw zdrowia określi, w drodze rozporządzenia: 1) sposób dokumentowania chorób zawodowych i skutków tych chorób, a także prowadzenia rejestrów chorób zawodowych, uwzględniając w szczególności wzory dokumentów stosowanych w postępowaniu dotyczącym tych chorób oraz dane objęte rejestrem. Mając powyższe na uwadze, należy wskazać, że przetwarzanie danych osobowych przez podmioty publiczne odbywać powinno się na podstawie przepisów prawa, które w sposób precyzyjny wskazują jakie dane będą przetwarzane, w jakim celu, przez jaki </w:t>
            </w:r>
            <w:proofErr w:type="gram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okres czasu</w:t>
            </w:r>
            <w:proofErr w:type="gram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oraz kto będzie za to przetwarzanie odpowiadał. W przypadku wskazanym w art. 6 ust. 1 lit. c i e rozporządzenia 2016/</w:t>
            </w:r>
            <w:proofErr w:type="gram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6793 ,</w:t>
            </w:r>
            <w:proofErr w:type="gram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gdy mamy do czynienia z przetwarzaniem danych niezbędnym do wypełnienia obowiązku prawnego ciążącego na administratorze lub wykonania zadania realizowanego w interesie publicznym, zastosowanie znajduje art. 6 ust. 3 rozporządzenia 2016/</w:t>
            </w:r>
            <w:proofErr w:type="gram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6794 ,</w:t>
            </w:r>
            <w:proofErr w:type="gram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zgodnie z którym podstawa przetwarzania musi być określona w prawie państwa członkowskiego, któremu podlega administrator. Z punktu widzenia standardów konstytucyjnych dotyczących prawa do ochrony danych osobowych wynikającego z art. 51 Konstytucji RP należy także podnieść, że sprawy istotne, które muszą zostać uregulowane w przepisach rangi ustawy, 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obejmują w szczególności warunki dopuszczalności przetwarzania danych osobowych</w:t>
            </w:r>
            <w:proofErr w:type="gram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5 .</w:t>
            </w:r>
            <w:proofErr w:type="gram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organ nadzorczy deklaruje swoje eksperckie wsparcie w zakresie zapewnienia zgodności tej regulacji z rozporządzeniem 2016/679 w przypadku przedstawienia mu do zaopiniowania projektu przepisów ustawy wdrażającej projektowany system informatyczny. Z uwagi na potencjalne przetwarzanie danych osobowych na dużą skalę w projektowanym systemie, w ocenie organu nadzorczego, wskazane jest także przeprowadzenie testu prywatności, w tym oceny skutków dla ochrony danych (art. 25 ust. 1 6 oraz 35 ust. 1 7 rozporządzenia 2016/679), które służą ocenie ryzyka naruszenia praw lub wolności podmiotów danych. Przeprowadzenie testu pozwoli na szczegółowe rozeznanie 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ryzyk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towarzyszących przetwarzaniu dla praw i wolności podmiotów danych oraz na wprowadzenie gwarancji te ryzyka eliminujące. Ponadto należy zwrócić uwagę, że opis założeń odnosi się co prawda do ww. testu prywatności w zakresie punktu 2.4 opisu założeń (produkty końcowe projektu)</w:t>
            </w:r>
            <w:proofErr w:type="gram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8 ,</w:t>
            </w:r>
            <w:proofErr w:type="gram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jednakże nie oznacza to zwolnienia projektodawcy z przeprowadzenia analizy obowiązujących przepisów prawa w tym zakresie (otoczenie prawne). Przegląd ten pozwoliłby na określenie podstawy prawnej przetwarzania (pozyskiwania, gromadzenia, udostępniania). Takie rozwiązanie przyczyni się zaś do tworzenia projektów informatycznych w zgodzie z przepisami rozporządzenia 2016/679.</w:t>
            </w:r>
          </w:p>
        </w:tc>
        <w:tc>
          <w:tcPr>
            <w:tcW w:w="3685" w:type="dxa"/>
            <w:shd w:val="clear" w:color="auto" w:fill="auto"/>
          </w:tcPr>
          <w:p w14:paraId="7D75E6A7" w14:textId="77777777" w:rsidR="00654EA3" w:rsidRPr="00F41C24" w:rsidRDefault="00654EA3" w:rsidP="00654EA3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19" w:type="dxa"/>
          </w:tcPr>
          <w:p w14:paraId="2F1E9C24" w14:textId="48CD3DDB" w:rsidR="00654EA3" w:rsidRPr="00F41C24" w:rsidRDefault="00654EA3" w:rsidP="00654EA3">
            <w:pPr>
              <w:jc w:val="center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Innowacyjna platforma do gromadzenia i analizy danych z </w:t>
            </w:r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Centralnego Rejestru Chorób Zawodowych”, dziękujemy za przesłane uwagi oraz gotowość do eksperckiego wsparcia w zakresie zapewnienia zgodności projektu z rozporządzeniem 2016/679. W pełni podzielamy stanowisko organu nadzorczego dotyczące konieczności przeprowadzenia testu prywatności. Dlatego też, w celu dokładnego rozpoznania </w:t>
            </w:r>
            <w:proofErr w:type="spellStart"/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>ryzyk</w:t>
            </w:r>
            <w:proofErr w:type="spellEnd"/>
            <w:r w:rsidRPr="00F41C24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związanych z przetwarzaniem danych osobowych i skutecznej realizacji zasad ochrony danych, projekt przewiduje przeprowadzenie testu prywatności wraz z analizą obowiązujących przepisów prawa, w tym zakresie zgodnie z art. 35 rozporządzenia 2016/679. Test prywatności zostanie przeprowadzony na etapie wstępnym projektu.</w:t>
            </w:r>
          </w:p>
        </w:tc>
      </w:tr>
      <w:tr w:rsidR="00F41C24" w:rsidRPr="00F41C24" w14:paraId="2F9BC489" w14:textId="77777777" w:rsidTr="005B1D99">
        <w:tc>
          <w:tcPr>
            <w:tcW w:w="562" w:type="dxa"/>
            <w:shd w:val="clear" w:color="auto" w:fill="auto"/>
          </w:tcPr>
          <w:p w14:paraId="24C17472" w14:textId="269CA6FA" w:rsidR="00F41C24" w:rsidRPr="00F41C24" w:rsidRDefault="00F41C24" w:rsidP="00F41C2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1134" w:type="dxa"/>
            <w:shd w:val="clear" w:color="auto" w:fill="auto"/>
          </w:tcPr>
          <w:p w14:paraId="2C9CED39" w14:textId="015B9595" w:rsidR="00F41C24" w:rsidRPr="00F41C24" w:rsidRDefault="00F41C24" w:rsidP="00F41C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B4579EA" w14:textId="31862D67" w:rsidR="00F41C24" w:rsidRPr="00F41C24" w:rsidRDefault="00F41C24" w:rsidP="00F41C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Metryka projektu</w:t>
            </w:r>
          </w:p>
        </w:tc>
        <w:tc>
          <w:tcPr>
            <w:tcW w:w="5245" w:type="dxa"/>
            <w:shd w:val="clear" w:color="auto" w:fill="auto"/>
          </w:tcPr>
          <w:p w14:paraId="03888BB5" w14:textId="77777777" w:rsidR="00F41C24" w:rsidRPr="00F41C24" w:rsidRDefault="00F41C24" w:rsidP="00F41C24">
            <w:pPr>
              <w:pStyle w:val="TableParagraph"/>
              <w:ind w:left="107" w:right="95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 OZPI </w:t>
            </w:r>
            <w:proofErr w:type="gramStart"/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wskazano,</w:t>
            </w:r>
            <w:proofErr w:type="gramEnd"/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jako źródło finansowania „Budżet państwa - część 46 - Zdrowie przynależna do części 27 Informatyzacja (20,29%)” zapis ten nie jest zrozumiały i wymaga wyjaśnienia co do kwestii, z jakiej części budżetowej obywać będzie się</w:t>
            </w:r>
          </w:p>
          <w:p w14:paraId="5362CBCD" w14:textId="28646214" w:rsidR="00F41C24" w:rsidRPr="00F41C24" w:rsidRDefault="00F41C24" w:rsidP="00F41C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finansowanie.</w:t>
            </w:r>
          </w:p>
        </w:tc>
        <w:tc>
          <w:tcPr>
            <w:tcW w:w="3685" w:type="dxa"/>
            <w:shd w:val="clear" w:color="auto" w:fill="auto"/>
          </w:tcPr>
          <w:p w14:paraId="10316C1A" w14:textId="2E1367C1" w:rsidR="00F41C24" w:rsidRPr="00F41C24" w:rsidRDefault="00F41C24" w:rsidP="00F41C24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Przekazanie wyjaśnień przez wnioskodawcę.</w:t>
            </w:r>
          </w:p>
        </w:tc>
        <w:tc>
          <w:tcPr>
            <w:tcW w:w="2919" w:type="dxa"/>
          </w:tcPr>
          <w:p w14:paraId="530CDD89" w14:textId="39802813" w:rsidR="00F41C24" w:rsidRPr="00F41C24" w:rsidRDefault="00F41C24" w:rsidP="00F41C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Uwaga uwzględniona zgodnie z </w:t>
            </w:r>
            <w:proofErr w:type="gram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wcześniejszymi  zaleceniami</w:t>
            </w:r>
            <w:proofErr w:type="gram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Ministerstwa Cyfryzacji. Wskazane w OZPI źródło finansowania zostało zmienione. Środki przewidziane na wypłaty dla podmiotów niebędących państwowymi jednostkami budżetowymi są planowane przez CPPC w cz. 27 – Informatyzacja.</w:t>
            </w:r>
          </w:p>
        </w:tc>
      </w:tr>
      <w:tr w:rsidR="00F41C24" w:rsidRPr="00F41C24" w14:paraId="088B079A" w14:textId="77777777" w:rsidTr="005B1D99">
        <w:tc>
          <w:tcPr>
            <w:tcW w:w="562" w:type="dxa"/>
            <w:shd w:val="clear" w:color="auto" w:fill="auto"/>
          </w:tcPr>
          <w:p w14:paraId="05CF879A" w14:textId="364389D7" w:rsidR="00F41C24" w:rsidRPr="00F41C24" w:rsidRDefault="00F41C24" w:rsidP="00F41C2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1134" w:type="dxa"/>
            <w:shd w:val="clear" w:color="auto" w:fill="auto"/>
          </w:tcPr>
          <w:p w14:paraId="0591CB88" w14:textId="048E31A4" w:rsidR="00F41C24" w:rsidRPr="00F41C24" w:rsidRDefault="00F41C24" w:rsidP="00F41C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4539D6CE" w14:textId="5E131C5F" w:rsidR="00F41C24" w:rsidRPr="00F41C24" w:rsidRDefault="00F41C24" w:rsidP="00F41C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Pkt 4.3</w:t>
            </w:r>
          </w:p>
        </w:tc>
        <w:tc>
          <w:tcPr>
            <w:tcW w:w="5245" w:type="dxa"/>
            <w:shd w:val="clear" w:color="auto" w:fill="auto"/>
          </w:tcPr>
          <w:p w14:paraId="1E344068" w14:textId="77777777" w:rsidR="00F41C24" w:rsidRPr="00F41C24" w:rsidRDefault="00F41C24" w:rsidP="00F41C24">
            <w:pPr>
              <w:pStyle w:val="TableParagraph"/>
              <w:ind w:left="107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 punkcie 4.3 </w:t>
            </w:r>
            <w:proofErr w:type="gramStart"/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OZPI,</w:t>
            </w:r>
            <w:proofErr w:type="gramEnd"/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jako źródło finansowania wskazano</w:t>
            </w:r>
          </w:p>
          <w:p w14:paraId="56F271BB" w14:textId="55978BBB" w:rsidR="00F41C24" w:rsidRPr="00F41C24" w:rsidRDefault="00F41C24" w:rsidP="00F41C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„MZ, 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MNiSW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(subwencja)”. Wyjaśnienia wymaga udział MZ i 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MNiSW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 w finasowaniu utrzymania trwałości projektu, tj.: </w:t>
            </w:r>
            <w:r w:rsidRPr="00F41C2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zasady przeznaczania środków publicznych (subwencji) przez oba resorty, w ramach części budżetowych, na każdy rok.</w:t>
            </w:r>
          </w:p>
        </w:tc>
        <w:tc>
          <w:tcPr>
            <w:tcW w:w="3685" w:type="dxa"/>
            <w:shd w:val="clear" w:color="auto" w:fill="auto"/>
          </w:tcPr>
          <w:p w14:paraId="2E01E50E" w14:textId="31D85662" w:rsidR="00F41C24" w:rsidRPr="00F41C24" w:rsidRDefault="00F41C24" w:rsidP="00F41C24">
            <w:pPr>
              <w:pStyle w:val="NormalnyWeb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Przekazanie wyjaśnień przez wnioskodawcę.</w:t>
            </w:r>
          </w:p>
        </w:tc>
        <w:tc>
          <w:tcPr>
            <w:tcW w:w="2919" w:type="dxa"/>
          </w:tcPr>
          <w:p w14:paraId="5376B216" w14:textId="77777777" w:rsidR="00F41C24" w:rsidRPr="00F41C24" w:rsidRDefault="00F41C24" w:rsidP="00F41C24">
            <w:pPr>
              <w:pStyle w:val="TableParagrap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 ramach subwencji </w:t>
            </w:r>
            <w:proofErr w:type="spellStart"/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MNiSW</w:t>
            </w:r>
            <w:proofErr w:type="spellEnd"/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IMP otrzymuje rocznie środki w wysokości ponad 5 milionów złotych. Środki te mogą zostać </w:t>
            </w:r>
            <w:r w:rsidRPr="00F41C2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lastRenderedPageBreak/>
              <w:t>przeznaczone m.in. na finansowanie trwałości projektu.</w:t>
            </w:r>
          </w:p>
          <w:p w14:paraId="19BD26ED" w14:textId="0B9AD096" w:rsidR="00F41C24" w:rsidRPr="00F41C24" w:rsidRDefault="00F41C24" w:rsidP="00F41C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Środki otrzymywane z MZ są dedykowane konkretnym celom m.in.  program </w:t>
            </w:r>
            <w:proofErr w:type="spellStart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>Amiantus</w:t>
            </w:r>
            <w:proofErr w:type="spellEnd"/>
            <w:r w:rsidRPr="00F41C2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</w:tbl>
    <w:p w14:paraId="0BB7A391" w14:textId="77777777" w:rsidR="00C64B1B" w:rsidRPr="006E533F" w:rsidRDefault="00C64B1B" w:rsidP="005B1D99">
      <w:pPr>
        <w:rPr>
          <w:rFonts w:ascii="Fira Sans" w:hAnsi="Fira Sans" w:cstheme="minorHAnsi"/>
          <w:sz w:val="19"/>
          <w:szCs w:val="19"/>
        </w:rPr>
      </w:pPr>
    </w:p>
    <w:sectPr w:rsidR="00C64B1B" w:rsidRPr="006E533F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3335"/>
    <w:multiLevelType w:val="multilevel"/>
    <w:tmpl w:val="72DA9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7D3DD9"/>
    <w:multiLevelType w:val="multilevel"/>
    <w:tmpl w:val="E1EA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981520"/>
    <w:multiLevelType w:val="hybridMultilevel"/>
    <w:tmpl w:val="2D743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30526"/>
    <w:multiLevelType w:val="hybridMultilevel"/>
    <w:tmpl w:val="60C839AA"/>
    <w:lvl w:ilvl="0" w:tplc="32506D7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E0C93"/>
    <w:multiLevelType w:val="hybridMultilevel"/>
    <w:tmpl w:val="2A08C6CE"/>
    <w:lvl w:ilvl="0" w:tplc="676E4966">
      <w:start w:val="1"/>
      <w:numFmt w:val="decimal"/>
      <w:lvlText w:val="%1)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05D7B"/>
    <w:multiLevelType w:val="hybridMultilevel"/>
    <w:tmpl w:val="72F0F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4566E"/>
    <w:multiLevelType w:val="hybridMultilevel"/>
    <w:tmpl w:val="27AEA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1093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8281560">
    <w:abstractNumId w:val="0"/>
  </w:num>
  <w:num w:numId="3" w16cid:durableId="382556368">
    <w:abstractNumId w:val="1"/>
  </w:num>
  <w:num w:numId="4" w16cid:durableId="517231702">
    <w:abstractNumId w:val="3"/>
  </w:num>
  <w:num w:numId="5" w16cid:durableId="1876848817">
    <w:abstractNumId w:val="4"/>
  </w:num>
  <w:num w:numId="6" w16cid:durableId="1129125745">
    <w:abstractNumId w:val="6"/>
  </w:num>
  <w:num w:numId="7" w16cid:durableId="7559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3B09"/>
    <w:rsid w:val="000F3291"/>
    <w:rsid w:val="00140BE8"/>
    <w:rsid w:val="0019648E"/>
    <w:rsid w:val="001A63BE"/>
    <w:rsid w:val="002309F9"/>
    <w:rsid w:val="00262BF6"/>
    <w:rsid w:val="002715B2"/>
    <w:rsid w:val="003124D1"/>
    <w:rsid w:val="00341238"/>
    <w:rsid w:val="0036097F"/>
    <w:rsid w:val="0039738F"/>
    <w:rsid w:val="003B4105"/>
    <w:rsid w:val="003F4F85"/>
    <w:rsid w:val="004D086F"/>
    <w:rsid w:val="00552E03"/>
    <w:rsid w:val="005B1D99"/>
    <w:rsid w:val="005F6527"/>
    <w:rsid w:val="00654EA3"/>
    <w:rsid w:val="006705EC"/>
    <w:rsid w:val="00681D4C"/>
    <w:rsid w:val="00684C49"/>
    <w:rsid w:val="006E16E9"/>
    <w:rsid w:val="006E533F"/>
    <w:rsid w:val="007145AE"/>
    <w:rsid w:val="00776D9B"/>
    <w:rsid w:val="00807385"/>
    <w:rsid w:val="008909B6"/>
    <w:rsid w:val="008A6BE1"/>
    <w:rsid w:val="008B51D9"/>
    <w:rsid w:val="008C5D69"/>
    <w:rsid w:val="008E45C5"/>
    <w:rsid w:val="00944932"/>
    <w:rsid w:val="0097236F"/>
    <w:rsid w:val="009E5FDB"/>
    <w:rsid w:val="00A06425"/>
    <w:rsid w:val="00A12A94"/>
    <w:rsid w:val="00A3786F"/>
    <w:rsid w:val="00AC7796"/>
    <w:rsid w:val="00B07C69"/>
    <w:rsid w:val="00B871B6"/>
    <w:rsid w:val="00C64B1B"/>
    <w:rsid w:val="00CC7432"/>
    <w:rsid w:val="00CD5EB0"/>
    <w:rsid w:val="00D64396"/>
    <w:rsid w:val="00E14C33"/>
    <w:rsid w:val="00E17C7A"/>
    <w:rsid w:val="00E3668C"/>
    <w:rsid w:val="00E53005"/>
    <w:rsid w:val="00F048F9"/>
    <w:rsid w:val="00F4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2076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12A94"/>
    <w:pPr>
      <w:spacing w:after="160" w:line="252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E533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E533F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41C24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55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9D01455FEB2488D154299321F09F2" ma:contentTypeVersion="4" ma:contentTypeDescription="Utwórz nowy dokument." ma:contentTypeScope="" ma:versionID="c656f32760852182d38d864b82b0f799">
  <xsd:schema xmlns:xsd="http://www.w3.org/2001/XMLSchema" xmlns:xs="http://www.w3.org/2001/XMLSchema" xmlns:p="http://schemas.microsoft.com/office/2006/metadata/properties" xmlns:ns2="9a032aa2-0ba4-406d-85dd-c8697d99f861" targetNamespace="http://schemas.microsoft.com/office/2006/metadata/properties" ma:root="true" ma:fieldsID="ee9df1a600ed5e5c992cca15668b400a" ns2:_="">
    <xsd:import namespace="9a032aa2-0ba4-406d-85dd-c8697d99f8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32aa2-0ba4-406d-85dd-c8697d99f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C69BF-1B0B-445E-A187-0DFD6CCD4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32aa2-0ba4-406d-85dd-c8697d99f8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2590D5-011D-4ED8-BEA0-9A4E446F75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D0B1E7-5236-460A-A33D-352CA6900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1989</Words>
  <Characters>11939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Rynek Agata</cp:lastModifiedBy>
  <cp:revision>9</cp:revision>
  <dcterms:created xsi:type="dcterms:W3CDTF">2025-06-10T07:50:00Z</dcterms:created>
  <dcterms:modified xsi:type="dcterms:W3CDTF">2025-06-12T08:32:00Z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GUS-ST02.0870.1.2025.166</vt:lpwstr>
  </property>
  <property fmtid="{D5CDD505-2E9C-101B-9397-08002B2CF9AE}" pid="3" name="UNPPisma">
    <vt:lpwstr>2025-110587</vt:lpwstr>
  </property>
  <property fmtid="{D5CDD505-2E9C-101B-9397-08002B2CF9AE}" pid="4" name="ZnakSprawy">
    <vt:lpwstr>GUS-ST02.0870.1.2025</vt:lpwstr>
  </property>
  <property fmtid="{D5CDD505-2E9C-101B-9397-08002B2CF9AE}" pid="5" name="ZnakSprawy2">
    <vt:lpwstr>Znak sprawy: GUS-ST02.0870.1.2025</vt:lpwstr>
  </property>
  <property fmtid="{D5CDD505-2E9C-101B-9397-08002B2CF9AE}" pid="6" name="AktualnaDataSlownie">
    <vt:lpwstr>6 czerwca 2025</vt:lpwstr>
  </property>
  <property fmtid="{D5CDD505-2E9C-101B-9397-08002B2CF9AE}" pid="7" name="ZnakSprawyPrzedPrzeniesieniem">
    <vt:lpwstr/>
  </property>
  <property fmtid="{D5CDD505-2E9C-101B-9397-08002B2CF9AE}" pid="8" name="Autor">
    <vt:lpwstr>Lewandowski Paweł</vt:lpwstr>
  </property>
  <property fmtid="{D5CDD505-2E9C-101B-9397-08002B2CF9AE}" pid="9" name="AutorNumer">
    <vt:lpwstr/>
  </property>
  <property fmtid="{D5CDD505-2E9C-101B-9397-08002B2CF9AE}" pid="10" name="AutorKomorkaNadrzedna">
    <vt:lpwstr>Z-ca II Dyrektora PR(PR-II)</vt:lpwstr>
  </property>
  <property fmtid="{D5CDD505-2E9C-101B-9397-08002B2CF9AE}" pid="11" name="AutorInicjaly">
    <vt:lpwstr>PL</vt:lpwstr>
  </property>
  <property fmtid="{D5CDD505-2E9C-101B-9397-08002B2CF9AE}" pid="12" name="AutorNrTelefonu">
    <vt:lpwstr>(022) 608-3097</vt:lpwstr>
  </property>
  <property fmtid="{D5CDD505-2E9C-101B-9397-08002B2CF9AE}" pid="13" name="Stanowisko">
    <vt:lpwstr>specjalista</vt:lpwstr>
  </property>
  <property fmtid="{D5CDD505-2E9C-101B-9397-08002B2CF9AE}" pid="14" name="OpisPisma">
    <vt:lpwstr>Pismo: Skierowanie do zaopiniowania przez KRMC opisu założeń projektu informatycznego pn.: e-ChoZaw: Innowacyjna platforma do gromadzenia i analizy
danych z Centralnego Rejestru Chorób Zawodowych.. Treść pisma w załączniku.</vt:lpwstr>
  </property>
  <property fmtid="{D5CDD505-2E9C-101B-9397-08002B2CF9AE}" pid="15" name="Komorka">
    <vt:lpwstr>Prezes GUS</vt:lpwstr>
  </property>
  <property fmtid="{D5CDD505-2E9C-101B-9397-08002B2CF9AE}" pid="16" name="KodKomorki">
    <vt:lpwstr>Prezes GUS</vt:lpwstr>
  </property>
  <property fmtid="{D5CDD505-2E9C-101B-9397-08002B2CF9AE}" pid="17" name="AktualnaData">
    <vt:lpwstr>2025-06-06</vt:lpwstr>
  </property>
  <property fmtid="{D5CDD505-2E9C-101B-9397-08002B2CF9AE}" pid="18" name="Wydzial">
    <vt:lpwstr>Wydział Pozyskiwania Danych z Zewnętrznych Systemów Informacyjnych</vt:lpwstr>
  </property>
  <property fmtid="{D5CDD505-2E9C-101B-9397-08002B2CF9AE}" pid="19" name="KodWydzialu">
    <vt:lpwstr>PR-03</vt:lpwstr>
  </property>
  <property fmtid="{D5CDD505-2E9C-101B-9397-08002B2CF9AE}" pid="20" name="ZaakceptowanePrzez">
    <vt:lpwstr>n/d</vt:lpwstr>
  </property>
  <property fmtid="{D5CDD505-2E9C-101B-9397-08002B2CF9AE}" pid="21" name="PrzekazanieDo">
    <vt:lpwstr>Dyrektor Departamentu Systemów Teleinformatycznych, Geostatystyki i Spisów(ST)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MINISTERSTWO CYFRYZACJI</vt:lpwstr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2025-06-06 13:30:18</vt:lpwstr>
  </property>
  <property fmtid="{D5CDD505-2E9C-101B-9397-08002B2CF9AE}" pid="41" name="TematSprawy">
    <vt:lpwstr>KRMC_opisy założeń projektów informatycznych</vt:lpwstr>
  </property>
  <property fmtid="{D5CDD505-2E9C-101B-9397-08002B2CF9AE}" pid="42" name="ProwadzacySprawe">
    <vt:lpwstr>Podpora Agnieszka</vt:lpwstr>
  </property>
  <property fmtid="{D5CDD505-2E9C-101B-9397-08002B2CF9AE}" pid="43" name="DaneJednostki1">
    <vt:lpwstr>do 30.06.2023 symbol PK-02, do 01.09.2024 pod nazwą: Wydział Danych z Zewnętrznych Systemów Informacyjnych</vt:lpwstr>
  </property>
  <property fmtid="{D5CDD505-2E9C-101B-9397-08002B2CF9AE}" pid="44" name="PolaDodatkowe1">
    <vt:lpwstr>do 30.06.2023 symbol PK-02, do 01.09.2024 pod nazwą: Wydział Danych z Zewnętrznych Systemów Informacyjnych</vt:lpwstr>
  </property>
  <property fmtid="{D5CDD505-2E9C-101B-9397-08002B2CF9AE}" pid="45" name="StopienSluzbowy">
    <vt:lpwstr/>
  </property>
  <property fmtid="{D5CDD505-2E9C-101B-9397-08002B2CF9AE}" pid="46" name="KodKreskowy">
    <vt:lpwstr> </vt:lpwstr>
  </property>
  <property fmtid="{D5CDD505-2E9C-101B-9397-08002B2CF9AE}" pid="47" name="TrescPisma">
    <vt:lpwstr/>
  </property>
  <property fmtid="{D5CDD505-2E9C-101B-9397-08002B2CF9AE}" pid="48" name="ContentTypeId">
    <vt:lpwstr>0x010100B5B9D01455FEB2488D154299321F09F2</vt:lpwstr>
  </property>
</Properties>
</file>